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shd w:fill="auto" w:val="clear"/>
        <w:spacing w:after="0" w:before="0" w:line="100" w:lineRule="atLeast"/>
        <w:contextualSpacing w:val="false"/>
      </w:pPr>
      <w:r>
        <w:rPr>
          <w:rFonts w:cs="Calibri"/>
          <w:shd w:fill="auto" w:val="clear"/>
        </w:rPr>
      </w:r>
    </w:p>
    <w:p>
      <w:pPr>
        <w:pStyle w:val="style0"/>
        <w:widowControl w:val="false"/>
        <w:shd w:fill="auto" w:val="clear"/>
        <w:spacing w:after="0" w:before="0" w:line="100" w:lineRule="atLeast"/>
        <w:contextualSpacing w:val="false"/>
        <w:jc w:val="center"/>
      </w:pPr>
      <w:bookmarkStart w:id="0" w:name="Par1"/>
      <w:bookmarkEnd w:id="0"/>
      <w:r>
        <w:rPr>
          <w:rFonts w:cs="Calibri"/>
          <w:b/>
          <w:bCs/>
          <w:shd w:fill="auto" w:val="clear"/>
          <w:lang w:val="en-US"/>
        </w:rPr>
        <w:t>RYAZAN REGION GOVERNMENT</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contextualSpacing w:val="false"/>
        <w:jc w:val="center"/>
      </w:pPr>
      <w:r>
        <w:rPr>
          <w:rFonts w:cs="Calibri"/>
          <w:b/>
          <w:bCs/>
          <w:shd w:fill="auto" w:val="clear"/>
          <w:lang w:val="en-US"/>
        </w:rPr>
        <w:t>RESOLUTION</w:t>
      </w:r>
    </w:p>
    <w:p>
      <w:pPr>
        <w:pStyle w:val="style0"/>
        <w:widowControl w:val="false"/>
        <w:shd w:fill="auto" w:val="clear"/>
        <w:spacing w:after="0" w:before="0" w:line="100" w:lineRule="atLeast"/>
        <w:contextualSpacing w:val="false"/>
        <w:jc w:val="center"/>
      </w:pPr>
      <w:r>
        <w:rPr>
          <w:rFonts w:cs="Calibri"/>
          <w:b/>
          <w:bCs/>
          <w:shd w:fill="auto" w:val="clear"/>
          <w:lang w:val="en-US"/>
        </w:rPr>
        <w:t xml:space="preserve">№ </w:t>
      </w:r>
      <w:r>
        <w:rPr>
          <w:rFonts w:cs="Calibri"/>
          <w:b/>
          <w:bCs/>
          <w:shd w:fill="auto" w:val="clear"/>
          <w:lang w:val="en-US"/>
        </w:rPr>
        <w:t xml:space="preserve">211, of 12 August, 2009 </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contextualSpacing w:val="false"/>
        <w:jc w:val="center"/>
      </w:pPr>
      <w:r>
        <w:rPr>
          <w:rFonts w:cs="Calibri"/>
          <w:b/>
          <w:bCs/>
          <w:shd w:fill="auto" w:val="clear"/>
          <w:lang w:val="en-US"/>
        </w:rPr>
        <w:t>ON APPROVAL OF REGULATIONS ON THE PROCEDURE OF HOLDING TENDERS</w:t>
      </w:r>
    </w:p>
    <w:p>
      <w:pPr>
        <w:pStyle w:val="style0"/>
        <w:widowControl w:val="false"/>
        <w:shd w:fill="auto" w:val="clear"/>
        <w:spacing w:after="0" w:before="0" w:line="100" w:lineRule="atLeast"/>
        <w:contextualSpacing w:val="false"/>
        <w:jc w:val="center"/>
      </w:pPr>
      <w:r>
        <w:rPr>
          <w:rFonts w:cs="Calibri"/>
          <w:b/>
          <w:bCs/>
          <w:caps/>
          <w:shd w:fill="auto" w:val="clear"/>
          <w:lang w:val="en-US"/>
        </w:rPr>
        <w:t>TO PROVIDE INVESTORS with STATE GUARANTEES</w:t>
      </w:r>
    </w:p>
    <w:p>
      <w:pPr>
        <w:pStyle w:val="style0"/>
        <w:widowControl w:val="false"/>
        <w:shd w:fill="auto" w:val="clear"/>
        <w:spacing w:after="0" w:before="0" w:line="100" w:lineRule="atLeast"/>
        <w:contextualSpacing w:val="false"/>
        <w:jc w:val="center"/>
      </w:pPr>
      <w:r>
        <w:rPr>
          <w:rFonts w:cs="Calibri"/>
          <w:b/>
          <w:bCs/>
          <w:shd w:fill="auto" w:val="clear"/>
          <w:lang w:val="en-US"/>
        </w:rPr>
        <w:t>OF THE RYAZAN REGION</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contextualSpacing w:val="false"/>
        <w:jc w:val="center"/>
      </w:pPr>
      <w:r>
        <w:rPr>
          <w:rFonts w:cs="Calibri"/>
          <w:shd w:fill="auto" w:val="clear"/>
          <w:lang w:val="en-US"/>
        </w:rPr>
        <w:t xml:space="preserve">(published as </w:t>
      </w:r>
      <w:hyperlink r:id="rId2">
        <w:r>
          <w:rPr>
            <w:rStyle w:val="style16"/>
            <w:rStyle w:val="style16"/>
            <w:rFonts w:cs="Calibri"/>
            <w:color w:val="0000FF"/>
            <w:shd w:fill="auto" w:val="clear"/>
            <w:lang w:val="en-US"/>
          </w:rPr>
          <w:t>Resolution</w:t>
        </w:r>
      </w:hyperlink>
      <w:r>
        <w:rPr>
          <w:rFonts w:cs="Calibri"/>
          <w:shd w:fill="auto" w:val="clear"/>
          <w:lang w:val="en-US"/>
        </w:rPr>
        <w:t xml:space="preserve"> of the Government of the Ryazan Region</w:t>
      </w:r>
    </w:p>
    <w:p>
      <w:pPr>
        <w:pStyle w:val="style0"/>
        <w:widowControl w:val="false"/>
        <w:shd w:fill="auto" w:val="clear"/>
        <w:spacing w:after="0" w:before="0" w:line="100" w:lineRule="atLeast"/>
        <w:contextualSpacing w:val="false"/>
        <w:jc w:val="center"/>
      </w:pPr>
      <w:r>
        <w:rPr>
          <w:rFonts w:cs="Calibri"/>
          <w:shd w:fill="auto" w:val="clear"/>
          <w:lang w:val="en-US"/>
        </w:rPr>
        <w:t xml:space="preserve">№ </w:t>
      </w:r>
      <w:r>
        <w:rPr>
          <w:rFonts w:cs="Calibri"/>
          <w:shd w:fill="auto" w:val="clear"/>
          <w:lang w:val="en-US"/>
        </w:rPr>
        <w:t>27 of 01.03.2011)</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In accordance with </w:t>
      </w:r>
      <w:hyperlink r:id="rId3">
        <w:r>
          <w:rPr>
            <w:rStyle w:val="style16"/>
            <w:rStyle w:val="style16"/>
            <w:rFonts w:cs="Calibri"/>
            <w:color w:val="0000FF"/>
            <w:shd w:fill="auto" w:val="clear"/>
            <w:lang w:val="en-US"/>
          </w:rPr>
          <w:t>Law</w:t>
        </w:r>
      </w:hyperlink>
      <w:r>
        <w:rPr>
          <w:rFonts w:cs="Calibri"/>
          <w:shd w:fill="auto" w:val="clear"/>
          <w:lang w:val="en-US"/>
        </w:rPr>
        <w:t xml:space="preserve"> of the Ryazan Region № 33-OZ of 6 April, 2009, "On state support of investor activities on the territory of the Ryazan Region", and for the purpose of provision of state guarantees of the Ryazan Region to investors, who implement investment projects, the Government of the Ryazan Region decrees:</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1. To approve the </w:t>
      </w:r>
      <w:hyperlink w:anchor="Par30">
        <w:r>
          <w:rPr>
            <w:rStyle w:val="style16"/>
            <w:rStyle w:val="style16"/>
            <w:rFonts w:cs="Calibri"/>
            <w:color w:val="0000FF"/>
            <w:shd w:fill="auto" w:val="clear"/>
          </w:rPr>
          <w:t>Положение</w:t>
        </w:r>
      </w:hyperlink>
      <w:r>
        <w:rPr>
          <w:rFonts w:cs="Calibri"/>
          <w:shd w:fill="auto" w:val="clear"/>
          <w:lang w:val="en-US"/>
        </w:rPr>
        <w:t xml:space="preserve"> on the procedure of holding tenders to provide investors with state guarantees of the Ryazan Region, in accordance with the Appendix hereto.</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2. </w:t>
      </w:r>
      <w:r>
        <w:rPr>
          <w:rFonts w:cs="Calibri"/>
          <w:shd w:fill="auto" w:val="clear"/>
          <w:lang w:val="en-GB"/>
        </w:rPr>
        <w:t>To appoint First Deputy Governor of the Ryazan Region A.V. Revyakin as the officer in charge of monitoring the enforcement of the present Resolution.</w:t>
      </w:r>
    </w:p>
    <w:p>
      <w:pPr>
        <w:pStyle w:val="style0"/>
        <w:widowControl w:val="false"/>
        <w:shd w:fill="auto" w:val="clear"/>
        <w:spacing w:after="0" w:before="0" w:line="100" w:lineRule="atLeast"/>
        <w:contextualSpacing w:val="false"/>
        <w:jc w:val="both"/>
      </w:pPr>
      <w:r>
        <w:rPr>
          <w:rFonts w:cs="Calibri"/>
          <w:shd w:fill="auto" w:val="clear"/>
          <w:lang w:val="en-US"/>
        </w:rPr>
        <w:t xml:space="preserve">(published as </w:t>
      </w:r>
      <w:hyperlink r:id="rId4">
        <w:r>
          <w:rPr>
            <w:rStyle w:val="style16"/>
            <w:rStyle w:val="style16"/>
            <w:rFonts w:cs="Calibri"/>
            <w:color w:val="0000FF"/>
            <w:shd w:fill="auto" w:val="clear"/>
            <w:lang w:val="en-US"/>
          </w:rPr>
          <w:t>Resolution</w:t>
        </w:r>
      </w:hyperlink>
      <w:r>
        <w:rPr>
          <w:rFonts w:cs="Calibri"/>
          <w:shd w:fill="auto" w:val="clear"/>
          <w:lang w:val="en-US"/>
        </w:rPr>
        <w:t xml:space="preserve"> of the Government of the Ryazan Region № 27 of 01.03.2011)</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contextualSpacing w:val="false"/>
        <w:jc w:val="right"/>
      </w:pPr>
      <w:r>
        <w:rPr>
          <w:rFonts w:cs="Calibri"/>
          <w:shd w:fill="auto" w:val="clear"/>
          <w:lang w:val="en-US"/>
        </w:rPr>
        <w:t>Governor of the Ryazan Region</w:t>
      </w:r>
    </w:p>
    <w:p>
      <w:pPr>
        <w:pStyle w:val="style0"/>
        <w:widowControl w:val="false"/>
        <w:shd w:fill="auto" w:val="clear"/>
        <w:spacing w:after="0" w:before="0" w:line="100" w:lineRule="atLeast"/>
        <w:contextualSpacing w:val="false"/>
        <w:jc w:val="right"/>
      </w:pPr>
      <w:r>
        <w:rPr>
          <w:rFonts w:cs="Calibri"/>
          <w:shd w:fill="auto" w:val="clear"/>
          <w:lang w:val="en-US"/>
        </w:rPr>
        <w:t>O.I. KOVALYOV</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contextualSpacing w:val="false"/>
        <w:jc w:val="right"/>
      </w:pPr>
      <w:bookmarkStart w:id="1" w:name="Par25"/>
      <w:bookmarkEnd w:id="1"/>
      <w:r>
        <w:rPr>
          <w:rFonts w:cs="Calibri"/>
          <w:shd w:fill="auto" w:val="clear"/>
          <w:lang w:val="en-US"/>
        </w:rPr>
        <w:t>Appendix</w:t>
      </w:r>
    </w:p>
    <w:p>
      <w:pPr>
        <w:pStyle w:val="style0"/>
        <w:widowControl w:val="false"/>
        <w:shd w:fill="auto" w:val="clear"/>
        <w:spacing w:after="0" w:before="0" w:line="100" w:lineRule="atLeast"/>
        <w:contextualSpacing w:val="false"/>
        <w:jc w:val="right"/>
      </w:pPr>
      <w:r>
        <w:rPr>
          <w:rFonts w:cs="Calibri"/>
          <w:shd w:fill="auto" w:val="clear"/>
          <w:lang w:val="en-US"/>
        </w:rPr>
        <w:t>To: Resolution</w:t>
      </w:r>
    </w:p>
    <w:p>
      <w:pPr>
        <w:pStyle w:val="style0"/>
        <w:widowControl w:val="false"/>
        <w:shd w:fill="auto" w:val="clear"/>
        <w:spacing w:after="0" w:before="0" w:line="100" w:lineRule="atLeast"/>
        <w:contextualSpacing w:val="false"/>
        <w:jc w:val="right"/>
      </w:pPr>
      <w:r>
        <w:rPr>
          <w:rFonts w:cs="Calibri"/>
          <w:shd w:fill="auto" w:val="clear"/>
          <w:lang w:val="en-US"/>
        </w:rPr>
        <w:t>of the Government of the Ryazan Region</w:t>
      </w:r>
    </w:p>
    <w:p>
      <w:pPr>
        <w:pStyle w:val="style0"/>
        <w:widowControl w:val="false"/>
        <w:shd w:fill="auto" w:val="clear"/>
        <w:spacing w:after="0" w:before="0" w:line="100" w:lineRule="atLeast"/>
        <w:contextualSpacing w:val="false"/>
        <w:jc w:val="right"/>
      </w:pPr>
      <w:r>
        <w:rPr>
          <w:rFonts w:cs="Calibri"/>
          <w:shd w:fill="auto" w:val="clear"/>
          <w:lang w:val="en-US"/>
        </w:rPr>
        <w:t xml:space="preserve">№ </w:t>
      </w:r>
      <w:r>
        <w:rPr>
          <w:rFonts w:cs="Calibri"/>
          <w:shd w:fill="auto" w:val="clear"/>
          <w:lang w:val="en-US"/>
        </w:rPr>
        <w:t xml:space="preserve">211 of 12 August, 2009 </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contextualSpacing w:val="false"/>
        <w:jc w:val="center"/>
      </w:pPr>
      <w:bookmarkStart w:id="2" w:name="Par30"/>
      <w:bookmarkEnd w:id="2"/>
      <w:r>
        <w:rPr>
          <w:rFonts w:cs="Calibri"/>
          <w:b/>
          <w:bCs/>
          <w:shd w:fill="auto" w:val="clear"/>
          <w:lang w:val="en-US"/>
        </w:rPr>
        <w:t>REGULATIONS</w:t>
      </w:r>
    </w:p>
    <w:p>
      <w:pPr>
        <w:pStyle w:val="style0"/>
        <w:widowControl w:val="false"/>
        <w:shd w:fill="auto" w:val="clear"/>
        <w:spacing w:after="0" w:before="0" w:line="100" w:lineRule="atLeast"/>
        <w:contextualSpacing w:val="false"/>
        <w:jc w:val="center"/>
      </w:pPr>
      <w:r>
        <w:rPr>
          <w:rFonts w:cs="Calibri"/>
          <w:b/>
          <w:bCs/>
          <w:shd w:fill="auto" w:val="clear"/>
          <w:lang w:val="en-US"/>
        </w:rPr>
        <w:t>ON THE PROCEDURE OF HOLDING TENDERS TO PROVIDE INVESTORS</w:t>
      </w:r>
    </w:p>
    <w:p>
      <w:pPr>
        <w:pStyle w:val="style0"/>
        <w:widowControl w:val="false"/>
        <w:shd w:fill="auto" w:val="clear"/>
        <w:spacing w:after="0" w:before="0" w:line="100" w:lineRule="atLeast"/>
        <w:contextualSpacing w:val="false"/>
        <w:jc w:val="center"/>
      </w:pPr>
      <w:r>
        <w:rPr>
          <w:rFonts w:cs="Calibri"/>
          <w:b/>
          <w:bCs/>
          <w:shd w:fill="auto" w:val="clear"/>
          <w:lang w:val="en-US"/>
        </w:rPr>
        <w:t>WITH STATE GUARANTEES OF THE RYAZAN REGION</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contextualSpacing w:val="false"/>
        <w:jc w:val="center"/>
      </w:pPr>
      <w:r>
        <w:rPr>
          <w:rFonts w:cs="Calibri"/>
          <w:shd w:fill="auto" w:val="clear"/>
          <w:lang w:val="en-US"/>
        </w:rPr>
        <w:t xml:space="preserve">(published as </w:t>
      </w:r>
      <w:hyperlink r:id="rId5">
        <w:r>
          <w:rPr>
            <w:rStyle w:val="style16"/>
            <w:rStyle w:val="style16"/>
            <w:rFonts w:cs="Calibri"/>
            <w:color w:val="0000FF"/>
            <w:shd w:fill="auto" w:val="clear"/>
            <w:lang w:val="en-US"/>
          </w:rPr>
          <w:t>Resolution</w:t>
        </w:r>
      </w:hyperlink>
      <w:r>
        <w:rPr>
          <w:rFonts w:cs="Calibri"/>
          <w:shd w:fill="auto" w:val="clear"/>
          <w:lang w:val="en-US"/>
        </w:rPr>
        <w:t xml:space="preserve"> of the Government of the Ryazan Region</w:t>
      </w:r>
    </w:p>
    <w:p>
      <w:pPr>
        <w:pStyle w:val="style0"/>
        <w:widowControl w:val="false"/>
        <w:shd w:fill="auto" w:val="clear"/>
        <w:spacing w:after="0" w:before="0" w:line="100" w:lineRule="atLeast"/>
        <w:contextualSpacing w:val="false"/>
        <w:jc w:val="center"/>
      </w:pPr>
      <w:r>
        <w:rPr>
          <w:rFonts w:cs="Calibri"/>
          <w:shd w:fill="auto" w:val="clear"/>
          <w:lang w:val="en-US"/>
        </w:rPr>
        <w:t xml:space="preserve">№ </w:t>
      </w:r>
      <w:r>
        <w:rPr>
          <w:rFonts w:cs="Calibri"/>
          <w:shd w:fill="auto" w:val="clear"/>
          <w:lang w:val="en-US"/>
        </w:rPr>
        <w:t>27 of 01.03.2011)</w:t>
      </w:r>
    </w:p>
    <w:p>
      <w:pPr>
        <w:pStyle w:val="style0"/>
        <w:widowControl w:val="false"/>
        <w:shd w:fill="auto" w:val="clear"/>
        <w:spacing w:after="0" w:before="0" w:line="100" w:lineRule="atLeast"/>
        <w:contextualSpacing w:val="false"/>
        <w:jc w:val="center"/>
      </w:pPr>
      <w:r>
        <w:rPr>
          <w:rFonts w:cs="Calibri"/>
          <w:shd w:fill="auto" w:val="clear"/>
          <w:lang w:val="en-US"/>
        </w:rPr>
      </w:r>
    </w:p>
    <w:p>
      <w:pPr>
        <w:pStyle w:val="style0"/>
        <w:widowControl w:val="false"/>
        <w:shd w:fill="auto" w:val="clear"/>
        <w:spacing w:after="0" w:before="0" w:line="100" w:lineRule="atLeast"/>
        <w:contextualSpacing w:val="false"/>
        <w:jc w:val="center"/>
      </w:pPr>
      <w:bookmarkStart w:id="3" w:name="Par37"/>
      <w:bookmarkEnd w:id="3"/>
      <w:r>
        <w:rPr>
          <w:rFonts w:cs="Calibri"/>
          <w:shd w:fill="auto" w:val="clear"/>
          <w:lang w:val="en-US"/>
        </w:rPr>
        <w:t>1. General provisions</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1. The present Regulations are drawn in accordance with </w:t>
      </w:r>
      <w:hyperlink r:id="rId6">
        <w:r>
          <w:rPr>
            <w:rStyle w:val="style16"/>
            <w:rStyle w:val="style16"/>
            <w:rFonts w:cs="Calibri"/>
            <w:color w:val="0000FF"/>
            <w:shd w:fill="auto" w:val="clear"/>
            <w:lang w:val="en-US"/>
          </w:rPr>
          <w:t>Law</w:t>
        </w:r>
      </w:hyperlink>
      <w:r>
        <w:rPr>
          <w:rFonts w:cs="Calibri"/>
          <w:shd w:fill="auto" w:val="clear"/>
          <w:lang w:val="en-US"/>
        </w:rPr>
        <w:t xml:space="preserve"> of the Ryazan Region № 33-OZ of 6 April, 2009 "On state support of investor activities on the territory of the Ryazan Region" (hereinafter referred to as the Law of the Ryazan Region) and defines the procedure of running a tender for provision of state guarantees of the Ryazan Region (hereinafter referred to as the Tender), where the objective is to ensure on the territory of the Ryazan Region implementation of investment projects that have been selected and approved by the Council for Investment of the Ryazan Region (hereinafter referred to as the Investors).</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2. The procedure of tenders among investors is to be run by the Tender Committee on Provision of State Guarantees of the Ryazan Region (hereinafter referred to as the Tender Committee).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Organizational assistance is rendered to the Tender Committee by the Ministry of Economic Development and Trade of the Ryazan Region (hereinafter referred to as the Authorized body).</w:t>
      </w:r>
    </w:p>
    <w:p>
      <w:pPr>
        <w:pStyle w:val="style0"/>
        <w:widowControl w:val="false"/>
        <w:shd w:fill="auto" w:val="clear"/>
        <w:spacing w:after="0" w:before="0" w:line="100" w:lineRule="atLeast"/>
        <w:contextualSpacing w:val="false"/>
        <w:jc w:val="both"/>
      </w:pPr>
      <w:r>
        <w:rPr>
          <w:rFonts w:cs="Calibri"/>
          <w:shd w:fill="auto" w:val="clear"/>
          <w:lang w:val="en-US"/>
        </w:rPr>
        <w:t xml:space="preserve">(published as </w:t>
      </w:r>
      <w:hyperlink r:id="rId7">
        <w:r>
          <w:rPr>
            <w:rStyle w:val="style16"/>
            <w:rStyle w:val="style16"/>
            <w:rFonts w:cs="Calibri"/>
            <w:color w:val="0000FF"/>
            <w:shd w:fill="auto" w:val="clear"/>
            <w:lang w:val="en-US"/>
          </w:rPr>
          <w:t>Resolution</w:t>
        </w:r>
      </w:hyperlink>
      <w:r>
        <w:rPr>
          <w:rFonts w:cs="Calibri"/>
          <w:shd w:fill="auto" w:val="clear"/>
          <w:lang w:val="en-US"/>
        </w:rPr>
        <w:t xml:space="preserve"> of the Government of the Ryazan Region № 27 of 01.03.2011)</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3. The subject of such Tenders is the right to conclude an agreement on provision of state guarantees of the Ryazan Region (hereinafter referred to as the Agreement) for a specific financial year (a specific financial year and planning period) for implementation of investment projects on the territory of the Ryazan Region.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4. The Government of the Ryazan Region approves:</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the members of the Tender Committee,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the date of the Tender,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the criteria of applicant selection,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the maximum scope of state guarantees of the Ryazan Region to be provided for implementation of investment projects.</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The Authorized body is to publish its announcement of the Tender at their official web site.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5. The tender for the following financial year is to be completed before 1 August of the current financial year.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contextualSpacing w:val="false"/>
        <w:jc w:val="center"/>
      </w:pPr>
      <w:bookmarkStart w:id="4" w:name="Par52"/>
      <w:bookmarkEnd w:id="4"/>
      <w:r>
        <w:rPr>
          <w:rFonts w:cs="Calibri"/>
          <w:shd w:fill="auto" w:val="clear"/>
          <w:lang w:val="en-US"/>
        </w:rPr>
        <w:t>2. Terms of participation in a Tender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1. Participation in a Tender is allowed to Investors whose investment projects are approved at the Council for Investments of the Ryazan Region, in accordance with </w:t>
      </w:r>
      <w:hyperlink r:id="rId8">
        <w:r>
          <w:rPr>
            <w:rStyle w:val="style16"/>
            <w:rStyle w:val="style16"/>
            <w:rFonts w:cs="Calibri"/>
            <w:color w:val="0000FF"/>
            <w:shd w:fill="auto" w:val="clear"/>
            <w:lang w:val="en-US"/>
          </w:rPr>
          <w:t>Part 3 of Article 15</w:t>
        </w:r>
      </w:hyperlink>
      <w:r>
        <w:rPr>
          <w:rFonts w:cs="Calibri"/>
          <w:shd w:fill="auto" w:val="clear"/>
          <w:lang w:val="en-US"/>
        </w:rPr>
        <w:t xml:space="preserve"> of Law of the Ryazan Region, whose applications were submitted and accepted in appropriate times, as established by the Government of the Ryazan Region, with consideration of the state support scope limitations, established in </w:t>
      </w:r>
      <w:hyperlink r:id="rId9">
        <w:r>
          <w:rPr>
            <w:rStyle w:val="style16"/>
            <w:rStyle w:val="style16"/>
            <w:rFonts w:cs="Calibri"/>
            <w:color w:val="0000FF"/>
            <w:shd w:fill="auto" w:val="clear"/>
            <w:lang w:val="en-US"/>
          </w:rPr>
          <w:t>Part 1 of Article 12</w:t>
        </w:r>
      </w:hyperlink>
      <w:r>
        <w:rPr>
          <w:rFonts w:cs="Calibri"/>
          <w:shd w:fill="auto" w:val="clear"/>
          <w:lang w:val="en-US"/>
        </w:rPr>
        <w:t xml:space="preserve"> of the Law of the Ryazan Region.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2. The Tender Committee has the right to deny an applicant participation in a Tender at any stage of the Tender, including annulment of the awards of a Tender, if it is found that the Applicant has submitted invalid or incomplete information and in this way influenced the procedure of the Tender and/or the resolution of the Tender Committee.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3. The members of the Tender Committee cannot act as participants in such Tenders or as affiliated persons of any participants in the Tender. Several participants that are affiliated are treated as a single participant.</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contextualSpacing w:val="false"/>
        <w:jc w:val="center"/>
      </w:pPr>
      <w:bookmarkStart w:id="5" w:name="Par58"/>
      <w:bookmarkEnd w:id="5"/>
      <w:r>
        <w:rPr>
          <w:rFonts w:cs="Calibri"/>
          <w:shd w:fill="auto" w:val="clear"/>
          <w:lang w:val="en-US"/>
        </w:rPr>
        <w:t>3. Procedure of holding a Tender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1. To participate in a Tender</w:t>
      </w:r>
      <w:r>
        <w:rPr>
          <w:rFonts w:cs="Calibri"/>
          <w:shd w:fill="auto" w:val="clear"/>
        </w:rPr>
        <w:t>е</w:t>
      </w:r>
      <w:r>
        <w:rPr>
          <w:rFonts w:cs="Calibri"/>
          <w:shd w:fill="auto" w:val="clear"/>
          <w:lang w:val="en-US"/>
        </w:rPr>
        <w:t xml:space="preserve">, an Investor is to send to the Authorized body an application with 2 copies of documents attached, in accordance with the </w:t>
      </w:r>
      <w:hyperlink r:id="rId10">
        <w:r>
          <w:rPr>
            <w:rStyle w:val="style16"/>
            <w:rStyle w:val="style16"/>
            <w:rFonts w:cs="Calibri"/>
            <w:color w:val="0000FF"/>
            <w:shd w:fill="auto" w:val="clear"/>
            <w:lang w:val="en-US"/>
          </w:rPr>
          <w:t>list</w:t>
        </w:r>
      </w:hyperlink>
      <w:r>
        <w:rPr>
          <w:rFonts w:cs="Calibri"/>
          <w:shd w:fill="auto" w:val="clear"/>
          <w:lang w:val="en-US"/>
        </w:rPr>
        <w:t xml:space="preserve"> of documents defined by the Government</w:t>
      </w:r>
      <w:r>
        <w:rPr>
          <w:rFonts w:cs="Calibri"/>
          <w:shd w:fill="auto" w:val="clear"/>
        </w:rPr>
        <w:t>м</w:t>
      </w:r>
      <w:r>
        <w:rPr>
          <w:rFonts w:cs="Calibri"/>
          <w:shd w:fill="auto" w:val="clear"/>
          <w:lang w:val="en-US"/>
        </w:rPr>
        <w:t xml:space="preserve"> of the Ryazan Region, which are required for consideration of an application (request) for provision of state guarantees of the Ryazan Region.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2. Acceptance of applications for participation in a Tender is performed during 20 or more work days subsequent to the publication of the Tender announcement. The procedure of the Tender is to take place within 15 work days after the end of submittal time of application to participate in the Tender.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3. The Investor has the right to call off his application via a written notification at any time before the end of the application submittal time.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4. The Authorized body is to send one copy of the Investor’s documents within 2 days of their acceptance to the Ministry of Finance of the Ryazan Region, which is to conduct financial analysis of the Investor’s business and the security proposed for any recourse liabilities on the state guarantee of the Ryazan Region, and to draw a conclusion about (im)possibility of provision of state guarantees of the Ryazan Region, the conclusion is then to be sent to the Authorized body.</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5. The Authorized body shall consider the documents submitted by the Investor, and draw a conclusion concerning the advisability of provision of state guarantees of the Ryazan Region. Such a conclusion is to contain analysis of the investment project’s social and economic value, and its efficiency, as well as conformity to the criteria of the Tender selection.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6. The Investor’s applications with attached conclusions made by the Authorized body and by the Ministry of Finance of the Ryazan Region are to be submitted for consideration of the Tender Committee.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7. The Tender can be awarded to one or more participants of the Tender, who are found to be the best upon the tender selection.</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If a Tender receives only one application, the Tender Committee has the right to award the single participant of the Tender.</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8. Meetings of the Tender Committee are to be closed, run by the Chairperson of the Tender Committee and acquire authority if the meeting was attended by more than half of the members. The resolutions of the Tender Committee are adopted by a simple majority of votes, and in the event of a tie, the Chairperson shall be entitled to a casting vote.</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9. Resolutions of the Tender Committee are to be recorded and signed by the Chairperson, members and Secretary the Tender Committee, who are present at the meeting. Within five days of the Tender Committee's meeting date, an excerpt on the results of the Tender is to be mailed to the Council for Investments of the Ryazan Region and to each participant of the Tender, with publication of the results at the official web site of the Authorized body.</w:t>
      </w:r>
    </w:p>
    <w:p>
      <w:pPr>
        <w:pStyle w:val="style0"/>
        <w:widowControl w:val="false"/>
        <w:shd w:fill="auto" w:val="clear"/>
        <w:spacing w:after="0" w:before="0" w:line="100" w:lineRule="atLeast"/>
        <w:ind w:firstLine="540" w:left="0" w:right="0"/>
        <w:contextualSpacing w:val="false"/>
        <w:jc w:val="both"/>
      </w:pPr>
      <w:r>
        <w:rPr>
          <w:rFonts w:cs="Calibri"/>
          <w:shd w:fill="auto" w:val="clear"/>
          <w:lang w:val="en-US"/>
        </w:rPr>
        <w:t xml:space="preserve">10. On the basis of the results of the Tender, the Government of the Ryazan Region is to make a decision about provision of state guarantee of the Ryazan Region, and to conclude an agreement with the winner of the Tender, about provision of state guarantees of the Ryazan Region in accordance with </w:t>
      </w:r>
      <w:hyperlink r:id="rId11">
        <w:r>
          <w:rPr>
            <w:rStyle w:val="style16"/>
            <w:rStyle w:val="style16"/>
            <w:rFonts w:cs="Calibri"/>
            <w:color w:val="0000FF"/>
            <w:shd w:fill="auto" w:val="clear"/>
            <w:lang w:val="en-US"/>
          </w:rPr>
          <w:t>Law</w:t>
        </w:r>
      </w:hyperlink>
      <w:r>
        <w:rPr>
          <w:rFonts w:cs="Calibri"/>
          <w:shd w:fill="auto" w:val="clear"/>
          <w:lang w:val="en-US"/>
        </w:rPr>
        <w:t xml:space="preserve"> of the Ryazan Region № 83-OZ of 06.08.2008, "On provision of state guarantees of the Ryazan Region".</w:t>
      </w:r>
    </w:p>
    <w:p>
      <w:pPr>
        <w:pStyle w:val="style0"/>
        <w:widowControl w:val="false"/>
        <w:shd w:fill="auto" w:val="clear"/>
        <w:spacing w:after="0" w:before="0" w:line="100" w:lineRule="atLeast"/>
        <w:contextualSpacing w:val="false"/>
      </w:pPr>
      <w:r>
        <w:rPr>
          <w:rFonts w:cs="Calibri"/>
          <w:shd w:fill="auto" w:val="clear"/>
          <w:lang w:val="en-US"/>
        </w:rPr>
      </w:r>
    </w:p>
    <w:p>
      <w:pPr>
        <w:pStyle w:val="style0"/>
        <w:widowControl w:val="false"/>
        <w:shd w:fill="auto" w:val="clear"/>
        <w:spacing w:after="0" w:before="0" w:line="100" w:lineRule="atLeast"/>
        <w:contextualSpacing w:val="false"/>
      </w:pPr>
      <w:r>
        <w:rPr>
          <w:rFonts w:cs="Calibri"/>
          <w:shd w:fill="auto" w:val="clear"/>
          <w:lang w:val="en-US"/>
        </w:rPr>
      </w:r>
    </w:p>
    <w:p>
      <w:pPr>
        <w:pStyle w:val="style0"/>
        <w:widowControl w:val="false"/>
        <w:pBdr>
          <w:bottom w:color="00000A" w:space="0" w:sz="6" w:val="single"/>
        </w:pBdr>
        <w:shd w:fill="auto" w:val="clear"/>
        <w:spacing w:after="0" w:before="0" w:line="100" w:lineRule="atLeast"/>
        <w:contextualSpacing w:val="false"/>
      </w:pPr>
      <w:r>
        <w:rPr>
          <w:rFonts w:cs="Calibri"/>
          <w:shd w:fill="auto" w:val="clear"/>
          <w:lang w:val="en-US"/>
        </w:rPr>
      </w:r>
    </w:p>
    <w:p>
      <w:pPr>
        <w:pStyle w:val="style0"/>
        <w:shd w:fill="auto" w:val="clear"/>
      </w:pPr>
      <w:r>
        <w:rPr>
          <w:shd w:fill="auto" w:val="clear"/>
        </w:rPr>
      </w:r>
    </w:p>
    <w:sectPr>
      <w:type w:val="nextPage"/>
      <w:pgSz w:h="16838" w:w="11906"/>
      <w:pgMar w:bottom="1134" w:footer="0" w:gutter="0" w:header="0" w:left="1701" w:right="850" w:top="1134"/>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55"/>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character">
    <w:name w:val="Интернет-ссылка"/>
    <w:next w:val="style16"/>
    <w:rPr>
      <w:color w:val="000080"/>
      <w:u w:val="single"/>
      <w:lang w:bidi="ru-RU" w:eastAsia="ru-RU" w:val="ru-RU"/>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Заглавие"/>
    <w:basedOn w:val="style0"/>
    <w:next w:val="style23"/>
    <w:pPr>
      <w:suppressLineNumbers/>
      <w:spacing w:after="120" w:before="120"/>
      <w:contextualSpacing w:val="false"/>
      <w:jc w:val="center"/>
    </w:pPr>
    <w:rPr>
      <w:rFonts w:cs="Mangal"/>
      <w:b/>
      <w:bCs/>
      <w:i/>
      <w:iCs/>
      <w:sz w:val="24"/>
      <w:szCs w:val="24"/>
    </w:rPr>
  </w:style>
  <w:style w:styleId="style23" w:type="paragraph">
    <w:name w:val="Подзаголовок"/>
    <w:basedOn w:val="style17"/>
    <w:next w:val="style18"/>
    <w:pPr>
      <w:jc w:val="center"/>
    </w:pPr>
    <w:rPr>
      <w:i/>
      <w:iCs/>
      <w:sz w:val="28"/>
      <w:szCs w:val="28"/>
    </w:rPr>
  </w:style>
  <w:style w:styleId="style24" w:type="paragraph">
    <w:name w:val="index heading"/>
    <w:basedOn w:val="style0"/>
    <w:next w:val="style24"/>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91B79E3AB39070476AF4F1F85489616CEF95FD726C7C40C57E253598819928991B99C8C9CF02DE44418DD74q9K7P" TargetMode="External"/><Relationship Id="rId3" Type="http://schemas.openxmlformats.org/officeDocument/2006/relationships/hyperlink" Target="consultantplus://offline/ref=091B79E3AB39070476AF4F1F85489616CEF95FD726C7C90354EA53598819928991B99C8C9CF02DE44418DC71q9KAP" TargetMode="External"/><Relationship Id="rId4" Type="http://schemas.openxmlformats.org/officeDocument/2006/relationships/hyperlink" Target="consultantplus://offline/ref=091B79E3AB39070476AF4F1F85489616CEF95FD726C7C40C57E253598819928991B99C8C9CF02DE44418DD74q9K4P" TargetMode="External"/><Relationship Id="rId5" Type="http://schemas.openxmlformats.org/officeDocument/2006/relationships/hyperlink" Target="consultantplus://offline/ref=091B79E3AB39070476AF4F1F85489616CEF95FD726C7C40C57E253598819928991B99C8C9CF02DE44418DD74q9K5P" TargetMode="External"/><Relationship Id="rId6" Type="http://schemas.openxmlformats.org/officeDocument/2006/relationships/hyperlink" Target="consultantplus://offline/ref=091B79E3AB39070476AF4F1F85489616CEF95FD726C7C90354EA53598819928991B99C8C9CF02DE44418DC71q9KAP" TargetMode="External"/><Relationship Id="rId7" Type="http://schemas.openxmlformats.org/officeDocument/2006/relationships/hyperlink" Target="consultantplus://offline/ref=091B79E3AB39070476AF4F1F85489616CEF95FD726C7C40C57E253598819928991B99C8C9CF02DE44418DD74q9K5P" TargetMode="External"/><Relationship Id="rId8" Type="http://schemas.openxmlformats.org/officeDocument/2006/relationships/hyperlink" Target="consultantplus://offline/ref=091B79E3AB39070476AF4F1F85489616CEF95FD726C7C90354EA53598819928991B99C8C9CF02DE44418DC7Cq9K7P" TargetMode="External"/><Relationship Id="rId9" Type="http://schemas.openxmlformats.org/officeDocument/2006/relationships/hyperlink" Target="consultantplus://offline/ref=091B79E3AB39070476AF4F1F85489616CEF95FD726C7C90354EA53598819928991B99C8C9CF02DE44418DC72q9K1P" TargetMode="External"/><Relationship Id="rId10" Type="http://schemas.openxmlformats.org/officeDocument/2006/relationships/hyperlink" Target="consultantplus://offline/ref=091B79E3AB39070476AF4F1F85489616CEF95FD723C3C80E54E10E5380409E8B96B6C39B9BB921E54418DCq7KCP" TargetMode="External"/><Relationship Id="rId11" Type="http://schemas.openxmlformats.org/officeDocument/2006/relationships/hyperlink" Target="consultantplus://offline/ref=091B79E3AB39070476AF4F1F85489616CEF95FD726C6C90254EF53598819928991qBK9P"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2014-01-13T16:50:00.00Z</dcterms:created>
  <dc:creator>pk</dc:creator>
  <cp:lastModifiedBy>Rogatin</cp:lastModifiedBy>
  <dcterms:modified xsi:type="dcterms:W3CDTF">2014-01-14T07:38:00.00Z</dcterms:modified>
  <cp:revision>5</cp:revision>
</cp:coreProperties>
</file>